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4E5" w:rsidRPr="000364E5" w:rsidRDefault="000364E5" w:rsidP="000364E5">
      <w:pPr>
        <w:spacing w:before="300" w:after="240" w:line="240" w:lineRule="auto"/>
        <w:jc w:val="center"/>
        <w:outlineLvl w:val="1"/>
        <w:rPr>
          <w:rFonts w:ascii="&amp;quot" w:eastAsia="Times New Roman" w:hAnsi="&amp;quot" w:cs="Times New Roman"/>
          <w:b/>
          <w:bCs/>
          <w:i/>
          <w:iCs/>
          <w:color w:val="235937"/>
          <w:sz w:val="24"/>
          <w:szCs w:val="24"/>
          <w:lang w:eastAsia="cs-CZ"/>
        </w:rPr>
      </w:pPr>
      <w:r w:rsidRPr="000364E5">
        <w:rPr>
          <w:rFonts w:ascii="&amp;quot" w:eastAsia="Times New Roman" w:hAnsi="&amp;quot" w:cs="Times New Roman"/>
          <w:b/>
          <w:bCs/>
          <w:i/>
          <w:iCs/>
          <w:color w:val="235937"/>
          <w:sz w:val="24"/>
          <w:szCs w:val="24"/>
          <w:lang w:eastAsia="cs-CZ"/>
        </w:rPr>
        <w:t>NOVÉ MIMOŘÁDNÉ OPATŘENÍ VLÁDY ČR OD 16. 3.</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color w:val="555555"/>
          <w:sz w:val="18"/>
          <w:szCs w:val="18"/>
          <w:lang w:eastAsia="cs-CZ"/>
        </w:rPr>
        <w:t xml:space="preserve">Na mimořádném jednání vlády v neděli 15. března 2020 Vláda ČR rozhodla v rámci preventivních kroků proti šíření </w:t>
      </w:r>
      <w:proofErr w:type="spellStart"/>
      <w:r w:rsidRPr="000364E5">
        <w:rPr>
          <w:rFonts w:ascii="Arial" w:eastAsia="Times New Roman" w:hAnsi="Arial" w:cs="Arial"/>
          <w:color w:val="555555"/>
          <w:sz w:val="18"/>
          <w:szCs w:val="18"/>
          <w:lang w:eastAsia="cs-CZ"/>
        </w:rPr>
        <w:t>koronaviru</w:t>
      </w:r>
      <w:proofErr w:type="spellEnd"/>
      <w:r w:rsidRPr="000364E5">
        <w:rPr>
          <w:rFonts w:ascii="Arial" w:eastAsia="Times New Roman" w:hAnsi="Arial" w:cs="Arial"/>
          <w:color w:val="555555"/>
          <w:sz w:val="18"/>
          <w:szCs w:val="18"/>
          <w:lang w:eastAsia="cs-CZ"/>
        </w:rPr>
        <w:t xml:space="preserve"> o dalších mimořádných opatřeních. Od půlnoci 16. března až do 24. března 6.00 ráno vyhlásila omezení volného pohybu osob až na vymezené výjimky. Usnesení Vlády ČR ze dne 15. března 2020 naleznete zde - </w:t>
      </w:r>
      <w:hyperlink r:id="rId4" w:tgtFrame="_blank" w:history="1">
        <w:r w:rsidRPr="000364E5">
          <w:rPr>
            <w:rFonts w:ascii="Arial" w:eastAsia="Times New Roman" w:hAnsi="Arial" w:cs="Arial"/>
            <w:color w:val="567632"/>
            <w:sz w:val="18"/>
            <w:szCs w:val="18"/>
            <w:u w:val="single"/>
            <w:lang w:eastAsia="cs-CZ"/>
          </w:rPr>
          <w:t>č. 214</w:t>
        </w:r>
      </w:hyperlink>
      <w:r w:rsidRPr="000364E5">
        <w:rPr>
          <w:rFonts w:ascii="Arial" w:eastAsia="Times New Roman" w:hAnsi="Arial" w:cs="Arial"/>
          <w:color w:val="555555"/>
          <w:sz w:val="18"/>
          <w:szCs w:val="18"/>
          <w:lang w:eastAsia="cs-CZ"/>
        </w:rPr>
        <w:t> a </w:t>
      </w:r>
      <w:hyperlink r:id="rId5" w:tgtFrame="_blank" w:history="1">
        <w:r w:rsidRPr="000364E5">
          <w:rPr>
            <w:rFonts w:ascii="Arial" w:eastAsia="Times New Roman" w:hAnsi="Arial" w:cs="Arial"/>
            <w:color w:val="567632"/>
            <w:sz w:val="18"/>
            <w:szCs w:val="18"/>
            <w:u w:val="single"/>
            <w:lang w:eastAsia="cs-CZ"/>
          </w:rPr>
          <w:t>č. 215</w:t>
        </w:r>
      </w:hyperlink>
      <w:r w:rsidRPr="000364E5">
        <w:rPr>
          <w:rFonts w:ascii="Arial" w:eastAsia="Times New Roman" w:hAnsi="Arial" w:cs="Arial"/>
          <w:color w:val="555555"/>
          <w:sz w:val="18"/>
          <w:szCs w:val="18"/>
          <w:lang w:eastAsia="cs-CZ"/>
        </w:rPr>
        <w:t>. K usnesením byl vypracován </w:t>
      </w:r>
      <w:hyperlink r:id="rId6" w:tgtFrame="_blank" w:history="1">
        <w:r w:rsidRPr="000364E5">
          <w:rPr>
            <w:rFonts w:ascii="Arial" w:eastAsia="Times New Roman" w:hAnsi="Arial" w:cs="Arial"/>
            <w:color w:val="567632"/>
            <w:sz w:val="18"/>
            <w:szCs w:val="18"/>
            <w:u w:val="single"/>
            <w:lang w:eastAsia="cs-CZ"/>
          </w:rPr>
          <w:t>právní výklad</w:t>
        </w:r>
      </w:hyperlink>
      <w:r w:rsidRPr="000364E5">
        <w:rPr>
          <w:rFonts w:ascii="Arial" w:eastAsia="Times New Roman" w:hAnsi="Arial" w:cs="Arial"/>
          <w:color w:val="555555"/>
          <w:sz w:val="18"/>
          <w:szCs w:val="18"/>
          <w:lang w:eastAsia="cs-CZ"/>
        </w:rPr>
        <w:t>.</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color w:val="555555"/>
          <w:sz w:val="18"/>
          <w:szCs w:val="18"/>
          <w:lang w:eastAsia="cs-CZ"/>
        </w:rPr>
        <w:t>Z usnesení jednoznačně vyplývá, že </w:t>
      </w:r>
      <w:r w:rsidRPr="000364E5">
        <w:rPr>
          <w:rFonts w:ascii="Arial" w:eastAsia="Times New Roman" w:hAnsi="Arial" w:cs="Arial"/>
          <w:b/>
          <w:bCs/>
          <w:color w:val="555555"/>
          <w:sz w:val="18"/>
          <w:szCs w:val="18"/>
          <w:lang w:eastAsia="cs-CZ"/>
        </w:rPr>
        <w:t>je zakázáno vše, co není z obecného zákazu Usnesení 215 explicitně vyňato</w:t>
      </w:r>
      <w:r w:rsidRPr="000364E5">
        <w:rPr>
          <w:rFonts w:ascii="Arial" w:eastAsia="Times New Roman" w:hAnsi="Arial" w:cs="Arial"/>
          <w:color w:val="555555"/>
          <w:sz w:val="18"/>
          <w:szCs w:val="18"/>
          <w:lang w:eastAsia="cs-CZ"/>
        </w:rPr>
        <w:t>. Lze tedy konstatovat, že i členové jednotlivých SK/TJ, kteří se přímo nepodílí na nezbytném chodu SK/TJ či sportoviště, tj. nenaplňují charakterem své činnosti výjimku dle bodu I. písm. a) Usnesení 215 (zaměstnání, výkon podnikatelské či jiné obdobné činnosti), podléhají zákazu přítomnosti na sportovištích.</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color w:val="555555"/>
          <w:sz w:val="18"/>
          <w:szCs w:val="18"/>
          <w:lang w:eastAsia="cs-CZ"/>
        </w:rPr>
        <w:t>Postavení a s tím spojená práva a povinnosti profesionálních sportovců a členů sportovní reprezentace v jednotlivých sportovních odvětvích nelze v tuto chvíli jednoznačně definovat či předjímat a lze proto doporučit vyčkání na plánované stanovisko </w:t>
      </w:r>
      <w:hyperlink r:id="rId7" w:tgtFrame="_blank" w:history="1">
        <w:r w:rsidRPr="000364E5">
          <w:rPr>
            <w:rFonts w:ascii="Arial" w:eastAsia="Times New Roman" w:hAnsi="Arial" w:cs="Arial"/>
            <w:color w:val="567632"/>
            <w:sz w:val="18"/>
            <w:szCs w:val="18"/>
            <w:u w:val="single"/>
            <w:lang w:eastAsia="cs-CZ"/>
          </w:rPr>
          <w:t>Národní sportovní agentury</w:t>
        </w:r>
      </w:hyperlink>
      <w:r w:rsidRPr="000364E5">
        <w:rPr>
          <w:rFonts w:ascii="Arial" w:eastAsia="Times New Roman" w:hAnsi="Arial" w:cs="Arial"/>
          <w:color w:val="555555"/>
          <w:sz w:val="18"/>
          <w:szCs w:val="18"/>
          <w:lang w:eastAsia="cs-CZ"/>
        </w:rPr>
        <w:t>.</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b/>
          <w:bCs/>
          <w:color w:val="555555"/>
          <w:sz w:val="18"/>
          <w:szCs w:val="18"/>
          <w:lang w:eastAsia="cs-CZ"/>
        </w:rPr>
        <w:t>Závěry:</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b/>
          <w:bCs/>
          <w:color w:val="555555"/>
          <w:sz w:val="18"/>
          <w:szCs w:val="18"/>
          <w:lang w:eastAsia="cs-CZ"/>
        </w:rPr>
        <w:t>1. Je vydán absolutní zákaz přítomnosti na veškerých sportovištích pro veřejnost.</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b/>
          <w:bCs/>
          <w:color w:val="555555"/>
          <w:sz w:val="18"/>
          <w:szCs w:val="18"/>
          <w:lang w:eastAsia="cs-CZ"/>
        </w:rPr>
        <w:t>2. Zákaz přítomnosti na sportovištích pro členy jednotlivých SK/TJ na vlastních či dlouhodobě pronajatých sportovištích lze dovodit z Usnesení 215 upravující volný pohyb osob na území celé České republiky. Zákaz neplatí výhradně pro osoby, které svou činností splňují podmínky pro výjimku dle bodu I. písm. a) Usnesení 215 (výjimka cest do zaměstnání a k výkonu podnikatelské nebo jiné obdobné činnosti) </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b/>
          <w:bCs/>
          <w:color w:val="555555"/>
          <w:sz w:val="18"/>
          <w:szCs w:val="18"/>
          <w:lang w:eastAsia="cs-CZ"/>
        </w:rPr>
        <w:t>3. Ve vztahu k profesionálním sportovcům a členům sportovní reprezentace v jednotlivých sportovních odvětvích se doporučuje řídit se aktuálním výkladovým stanoviskem Národní sportovní agentury.</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b/>
          <w:bCs/>
          <w:color w:val="555555"/>
          <w:sz w:val="18"/>
          <w:szCs w:val="18"/>
          <w:lang w:eastAsia="cs-CZ"/>
        </w:rPr>
        <w:t>Doporučujeme sportovním subjektům, aby přijaly příslušná opatření a doporučení pro zaměstnavatele, zejména:</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color w:val="555555"/>
          <w:sz w:val="18"/>
          <w:szCs w:val="18"/>
          <w:lang w:eastAsia="cs-CZ"/>
        </w:rPr>
        <w:t>- využívat nejvyšší možnou měrou práci na dálku, pokud ji zaměstnanci mohou vykonávat v místě bydliště,</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color w:val="555555"/>
          <w:sz w:val="18"/>
          <w:szCs w:val="18"/>
          <w:lang w:eastAsia="cs-CZ"/>
        </w:rPr>
        <w:t>- podporovat dovolené a placené volno pro zaměstnance,</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color w:val="555555"/>
          <w:sz w:val="18"/>
          <w:szCs w:val="18"/>
          <w:lang w:eastAsia="cs-CZ"/>
        </w:rPr>
        <w:t>- omezit výkon prací, které nejsou významné pro zachování činnosti zaměstnavatele. </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color w:val="555555"/>
          <w:sz w:val="18"/>
          <w:szCs w:val="18"/>
          <w:lang w:eastAsia="cs-CZ"/>
        </w:rPr>
        <w:t xml:space="preserve">Možnost uzavření dohody se zaměstnancem o práci z </w:t>
      </w:r>
      <w:proofErr w:type="gramStart"/>
      <w:r w:rsidRPr="000364E5">
        <w:rPr>
          <w:rFonts w:ascii="Arial" w:eastAsia="Times New Roman" w:hAnsi="Arial" w:cs="Arial"/>
          <w:color w:val="555555"/>
          <w:sz w:val="18"/>
          <w:szCs w:val="18"/>
          <w:lang w:eastAsia="cs-CZ"/>
        </w:rPr>
        <w:t>domova - v</w:t>
      </w:r>
      <w:proofErr w:type="gramEnd"/>
      <w:r w:rsidRPr="000364E5">
        <w:rPr>
          <w:rFonts w:ascii="Arial" w:eastAsia="Times New Roman" w:hAnsi="Arial" w:cs="Arial"/>
          <w:color w:val="555555"/>
          <w:sz w:val="18"/>
          <w:szCs w:val="18"/>
          <w:lang w:eastAsia="cs-CZ"/>
        </w:rPr>
        <w:t xml:space="preserve"> návaznosti na rozhodnutí o mimořádných opatřeních, která jsou vydávána příslušnými státními orgány, v souvislosti s výskytem onemocnění COVID-19, a souvisejícím utlumením činnosti sportovních spolků, ke kterému dochází, je možné do určité míry situaci řešit i dohodou, kdy se zaměstnavatelé, svazy nebo velké tělovýchovné jednoty, se svými zaměstnanci dohodnou na dočasném výkonu práce z domova. </w:t>
      </w:r>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r w:rsidRPr="000364E5">
        <w:rPr>
          <w:rFonts w:ascii="Arial" w:eastAsia="Times New Roman" w:hAnsi="Arial" w:cs="Arial"/>
          <w:color w:val="555555"/>
          <w:sz w:val="18"/>
          <w:szCs w:val="18"/>
          <w:lang w:eastAsia="cs-CZ"/>
        </w:rPr>
        <w:t>Zde poskytujeme </w:t>
      </w:r>
      <w:hyperlink r:id="rId8" w:tgtFrame="_blank" w:history="1">
        <w:r w:rsidRPr="000364E5">
          <w:rPr>
            <w:rFonts w:ascii="Arial" w:eastAsia="Times New Roman" w:hAnsi="Arial" w:cs="Arial"/>
            <w:color w:val="567632"/>
            <w:sz w:val="18"/>
            <w:szCs w:val="18"/>
            <w:u w:val="single"/>
            <w:lang w:eastAsia="cs-CZ"/>
          </w:rPr>
          <w:t>vzor Dohody o výkonu práce z domova.</w:t>
        </w:r>
      </w:hyperlink>
    </w:p>
    <w:p w:rsidR="000364E5" w:rsidRPr="000364E5" w:rsidRDefault="000364E5" w:rsidP="000364E5">
      <w:pPr>
        <w:spacing w:before="240" w:after="240" w:line="240" w:lineRule="atLeast"/>
        <w:rPr>
          <w:rFonts w:ascii="Arial" w:eastAsia="Times New Roman" w:hAnsi="Arial" w:cs="Arial"/>
          <w:color w:val="555555"/>
          <w:sz w:val="18"/>
          <w:szCs w:val="18"/>
          <w:lang w:eastAsia="cs-CZ"/>
        </w:rPr>
      </w:pPr>
      <w:hyperlink r:id="rId9" w:tgtFrame="_blank" w:history="1">
        <w:r w:rsidRPr="000364E5">
          <w:rPr>
            <w:rFonts w:ascii="Arial" w:eastAsia="Times New Roman" w:hAnsi="Arial" w:cs="Arial"/>
            <w:b/>
            <w:bCs/>
            <w:color w:val="567632"/>
            <w:sz w:val="18"/>
            <w:szCs w:val="18"/>
            <w:u w:val="single"/>
            <w:lang w:eastAsia="cs-CZ"/>
          </w:rPr>
          <w:t xml:space="preserve">Výkladové stanovisko v návaznosti na Usnesení vlády ČR ze dne 15. 3. 2020 č. 214 a č. 215 od JUDr. Daniela </w:t>
        </w:r>
        <w:proofErr w:type="spellStart"/>
        <w:r w:rsidRPr="000364E5">
          <w:rPr>
            <w:rFonts w:ascii="Arial" w:eastAsia="Times New Roman" w:hAnsi="Arial" w:cs="Arial"/>
            <w:b/>
            <w:bCs/>
            <w:color w:val="567632"/>
            <w:sz w:val="18"/>
            <w:szCs w:val="18"/>
            <w:u w:val="single"/>
            <w:lang w:eastAsia="cs-CZ"/>
          </w:rPr>
          <w:t>Viduny</w:t>
        </w:r>
        <w:proofErr w:type="spellEnd"/>
      </w:hyperlink>
    </w:p>
    <w:p w:rsidR="000364E5" w:rsidRPr="000364E5" w:rsidRDefault="000364E5" w:rsidP="000364E5">
      <w:pPr>
        <w:spacing w:before="240" w:after="240" w:line="240" w:lineRule="atLeast"/>
        <w:jc w:val="center"/>
        <w:rPr>
          <w:rFonts w:ascii="Arial" w:eastAsia="Times New Roman" w:hAnsi="Arial" w:cs="Arial"/>
          <w:color w:val="555555"/>
          <w:sz w:val="18"/>
          <w:szCs w:val="18"/>
          <w:lang w:eastAsia="cs-CZ"/>
        </w:rPr>
      </w:pPr>
      <w:r w:rsidRPr="000364E5">
        <w:rPr>
          <w:rFonts w:ascii="Arial" w:eastAsia="Times New Roman" w:hAnsi="Arial" w:cs="Arial"/>
          <w:color w:val="555555"/>
          <w:sz w:val="18"/>
          <w:szCs w:val="18"/>
          <w:lang w:eastAsia="cs-CZ"/>
        </w:rPr>
        <w:lastRenderedPageBreak/>
        <w:t> </w:t>
      </w:r>
      <w:r w:rsidRPr="000364E5">
        <w:rPr>
          <w:rFonts w:ascii="Arial" w:eastAsia="Times New Roman" w:hAnsi="Arial" w:cs="Arial"/>
          <w:b/>
          <w:bCs/>
          <w:noProof/>
          <w:color w:val="77B800"/>
          <w:sz w:val="18"/>
          <w:szCs w:val="18"/>
          <w:lang w:eastAsia="cs-CZ"/>
        </w:rPr>
        <w:drawing>
          <wp:inline distT="0" distB="0" distL="0" distR="0">
            <wp:extent cx="4743450" cy="7839075"/>
            <wp:effectExtent l="0" t="0" r="0" b="9525"/>
            <wp:docPr id="1" name="Obrázek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7839075"/>
                    </a:xfrm>
                    <a:prstGeom prst="rect">
                      <a:avLst/>
                    </a:prstGeom>
                    <a:noFill/>
                    <a:ln>
                      <a:noFill/>
                    </a:ln>
                  </pic:spPr>
                </pic:pic>
              </a:graphicData>
            </a:graphic>
          </wp:inline>
        </w:drawing>
      </w:r>
    </w:p>
    <w:p w:rsidR="00837B8D" w:rsidRDefault="000364E5">
      <w:bookmarkStart w:id="0" w:name="_GoBack"/>
      <w:bookmarkEnd w:id="0"/>
    </w:p>
    <w:sectPr w:rsidR="00837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E5"/>
    <w:rsid w:val="000364E5"/>
    <w:rsid w:val="000E43C5"/>
    <w:rsid w:val="00727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8A225-74D9-4091-8CEE-D4366FCA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0364E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364E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364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364E5"/>
    <w:rPr>
      <w:color w:val="0000FF"/>
      <w:u w:val="single"/>
    </w:rPr>
  </w:style>
  <w:style w:type="character" w:styleId="Siln">
    <w:name w:val="Strong"/>
    <w:basedOn w:val="Standardnpsmoodstavce"/>
    <w:uiPriority w:val="22"/>
    <w:qFormat/>
    <w:rsid w:val="00036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4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cz.cz/files/2643YmJ.docx" TargetMode="External"/><Relationship Id="rId3" Type="http://schemas.openxmlformats.org/officeDocument/2006/relationships/webSettings" Target="webSettings.xml"/><Relationship Id="rId7" Type="http://schemas.openxmlformats.org/officeDocument/2006/relationships/hyperlink" Target="http://www.agenturasport.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scz.cz/files/2646Nzc.pdf" TargetMode="External"/><Relationship Id="rId11" Type="http://schemas.openxmlformats.org/officeDocument/2006/relationships/fontTable" Target="fontTable.xml"/><Relationship Id="rId5" Type="http://schemas.openxmlformats.org/officeDocument/2006/relationships/hyperlink" Target="http://www.cuscz.cz/files/2649ZTE.pdf" TargetMode="External"/><Relationship Id="rId10" Type="http://schemas.openxmlformats.org/officeDocument/2006/relationships/image" Target="media/image1.png"/><Relationship Id="rId4" Type="http://schemas.openxmlformats.org/officeDocument/2006/relationships/hyperlink" Target="http://www.cuscz.cz/files/2648ZGZ.pdf" TargetMode="External"/><Relationship Id="rId9" Type="http://schemas.openxmlformats.org/officeDocument/2006/relationships/hyperlink" Target="http://www.cuscz.cz/files/2646Nzc.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2719</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2020-03-20T08:05:00Z</dcterms:created>
  <dcterms:modified xsi:type="dcterms:W3CDTF">2020-03-20T08:09:00Z</dcterms:modified>
</cp:coreProperties>
</file>